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E152" w14:textId="77777777" w:rsidR="004E7F12" w:rsidRPr="00F8305C" w:rsidRDefault="004E7F12" w:rsidP="004E7F12">
      <w:pPr>
        <w:spacing w:after="0" w:line="360" w:lineRule="auto"/>
        <w:jc w:val="center"/>
        <w:rPr>
          <w:rFonts w:eastAsia="Times New Roman" w:cs="Times New Roman"/>
          <w:color w:val="000000"/>
          <w:szCs w:val="24"/>
          <w:lang w:eastAsia="es-CO"/>
        </w:rPr>
      </w:pPr>
      <w:r w:rsidRPr="00F8305C">
        <w:rPr>
          <w:rFonts w:eastAsia="Times New Roman" w:cs="Times New Roman"/>
          <w:b/>
          <w:bCs/>
          <w:color w:val="0000FF"/>
          <w:szCs w:val="24"/>
          <w:lang w:eastAsia="es-CO"/>
        </w:rPr>
        <w:t xml:space="preserve">OFICIO </w:t>
      </w:r>
      <w:proofErr w:type="spellStart"/>
      <w:r w:rsidRPr="00F8305C">
        <w:rPr>
          <w:rFonts w:eastAsia="Times New Roman" w:cs="Times New Roman"/>
          <w:b/>
          <w:bCs/>
          <w:color w:val="0000FF"/>
          <w:szCs w:val="24"/>
          <w:lang w:eastAsia="es-CO"/>
        </w:rPr>
        <w:t>Nº</w:t>
      </w:r>
      <w:proofErr w:type="spellEnd"/>
      <w:r w:rsidRPr="00F8305C">
        <w:rPr>
          <w:rFonts w:eastAsia="Times New Roman" w:cs="Times New Roman"/>
          <w:b/>
          <w:bCs/>
          <w:color w:val="0000FF"/>
          <w:szCs w:val="24"/>
          <w:lang w:eastAsia="es-CO"/>
        </w:rPr>
        <w:t xml:space="preserve"> 0152 [900996]</w:t>
      </w:r>
    </w:p>
    <w:p w14:paraId="0958BEB0" w14:textId="77777777" w:rsidR="004E7F12" w:rsidRPr="00F8305C" w:rsidRDefault="004E7F12" w:rsidP="004E7F12">
      <w:pPr>
        <w:spacing w:after="0" w:line="360" w:lineRule="auto"/>
        <w:jc w:val="center"/>
        <w:rPr>
          <w:rFonts w:eastAsia="Times New Roman" w:cs="Times New Roman"/>
          <w:color w:val="000000"/>
          <w:szCs w:val="24"/>
          <w:lang w:eastAsia="es-CO"/>
        </w:rPr>
      </w:pPr>
      <w:r w:rsidRPr="00F8305C">
        <w:rPr>
          <w:rFonts w:eastAsia="Times New Roman" w:cs="Times New Roman"/>
          <w:b/>
          <w:bCs/>
          <w:color w:val="0000FF"/>
          <w:szCs w:val="24"/>
          <w:lang w:eastAsia="es-CO"/>
        </w:rPr>
        <w:t>10-02-2021</w:t>
      </w:r>
    </w:p>
    <w:p w14:paraId="2C982CBF" w14:textId="77777777" w:rsidR="004E7F12" w:rsidRPr="00F8305C" w:rsidRDefault="004E7F12" w:rsidP="004E7F12">
      <w:pPr>
        <w:spacing w:after="0" w:line="360" w:lineRule="auto"/>
        <w:jc w:val="center"/>
        <w:rPr>
          <w:rFonts w:eastAsia="Times New Roman" w:cs="Times New Roman"/>
          <w:color w:val="000000"/>
          <w:szCs w:val="24"/>
          <w:lang w:eastAsia="es-CO"/>
        </w:rPr>
      </w:pPr>
      <w:r w:rsidRPr="00F8305C">
        <w:rPr>
          <w:rFonts w:eastAsia="Times New Roman" w:cs="Times New Roman"/>
          <w:b/>
          <w:bCs/>
          <w:color w:val="0000FF"/>
          <w:szCs w:val="24"/>
          <w:lang w:eastAsia="es-CO"/>
        </w:rPr>
        <w:t>DIAN</w:t>
      </w:r>
    </w:p>
    <w:p w14:paraId="64F967D0"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4F107AE4"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46475EFC"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Subdirección de Gestión Normativa y Doctrina</w:t>
      </w:r>
    </w:p>
    <w:p w14:paraId="3B13C170"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100208221-0152</w:t>
      </w:r>
    </w:p>
    <w:p w14:paraId="7FF0C1FF"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Bogotá, D.C.</w:t>
      </w:r>
    </w:p>
    <w:p w14:paraId="524F4B72"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tbl>
      <w:tblPr>
        <w:tblW w:w="8805" w:type="dxa"/>
        <w:tblCellMar>
          <w:left w:w="0" w:type="dxa"/>
          <w:right w:w="0" w:type="dxa"/>
        </w:tblCellMar>
        <w:tblLook w:val="04A0" w:firstRow="1" w:lastRow="0" w:firstColumn="1" w:lastColumn="0" w:noHBand="0" w:noVBand="1"/>
      </w:tblPr>
      <w:tblGrid>
        <w:gridCol w:w="1814"/>
        <w:gridCol w:w="276"/>
        <w:gridCol w:w="276"/>
        <w:gridCol w:w="6439"/>
      </w:tblGrid>
      <w:tr w:rsidR="004E7F12" w:rsidRPr="00F8305C" w14:paraId="140A7FD0" w14:textId="77777777" w:rsidTr="004E7F12">
        <w:tc>
          <w:tcPr>
            <w:tcW w:w="1822" w:type="dxa"/>
            <w:tcBorders>
              <w:top w:val="nil"/>
              <w:left w:val="nil"/>
              <w:bottom w:val="nil"/>
              <w:right w:val="nil"/>
            </w:tcBorders>
            <w:shd w:val="clear" w:color="auto" w:fill="auto"/>
            <w:tcMar>
              <w:top w:w="0" w:type="dxa"/>
              <w:left w:w="108" w:type="dxa"/>
              <w:bottom w:w="0" w:type="dxa"/>
              <w:right w:w="108" w:type="dxa"/>
            </w:tcMar>
            <w:hideMark/>
          </w:tcPr>
          <w:p w14:paraId="470E3F56"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8A0A7CD"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65229FC"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 </w:t>
            </w:r>
          </w:p>
        </w:tc>
        <w:tc>
          <w:tcPr>
            <w:tcW w:w="6514" w:type="dxa"/>
            <w:tcBorders>
              <w:top w:val="nil"/>
              <w:left w:val="nil"/>
              <w:bottom w:val="nil"/>
              <w:right w:val="nil"/>
            </w:tcBorders>
            <w:shd w:val="clear" w:color="auto" w:fill="auto"/>
            <w:tcMar>
              <w:top w:w="0" w:type="dxa"/>
              <w:left w:w="108" w:type="dxa"/>
              <w:bottom w:w="0" w:type="dxa"/>
              <w:right w:w="108" w:type="dxa"/>
            </w:tcMar>
            <w:hideMark/>
          </w:tcPr>
          <w:p w14:paraId="69215919"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Procedimiento tributario</w:t>
            </w:r>
          </w:p>
          <w:p w14:paraId="3F6408E5"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Impuesto sobre la renta y complementarios</w:t>
            </w:r>
          </w:p>
          <w:p w14:paraId="7BB619D8"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Impuesto sobre las ventas</w:t>
            </w:r>
          </w:p>
        </w:tc>
      </w:tr>
      <w:tr w:rsidR="004E7F12" w:rsidRPr="00F8305C" w14:paraId="157DEC37" w14:textId="77777777" w:rsidTr="004E7F12">
        <w:tc>
          <w:tcPr>
            <w:tcW w:w="1822" w:type="dxa"/>
            <w:tcBorders>
              <w:top w:val="nil"/>
              <w:left w:val="nil"/>
              <w:bottom w:val="nil"/>
              <w:right w:val="nil"/>
            </w:tcBorders>
            <w:shd w:val="clear" w:color="auto" w:fill="auto"/>
            <w:tcMar>
              <w:top w:w="0" w:type="dxa"/>
              <w:left w:w="108" w:type="dxa"/>
              <w:bottom w:w="0" w:type="dxa"/>
              <w:right w:w="108" w:type="dxa"/>
            </w:tcMar>
            <w:hideMark/>
          </w:tcPr>
          <w:p w14:paraId="71D60A47"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B553D14"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01508B3"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 </w:t>
            </w:r>
          </w:p>
        </w:tc>
        <w:tc>
          <w:tcPr>
            <w:tcW w:w="6514" w:type="dxa"/>
            <w:tcBorders>
              <w:top w:val="nil"/>
              <w:left w:val="nil"/>
              <w:bottom w:val="nil"/>
              <w:right w:val="nil"/>
            </w:tcBorders>
            <w:shd w:val="clear" w:color="auto" w:fill="auto"/>
            <w:tcMar>
              <w:top w:w="0" w:type="dxa"/>
              <w:left w:w="108" w:type="dxa"/>
              <w:bottom w:w="0" w:type="dxa"/>
              <w:right w:w="108" w:type="dxa"/>
            </w:tcMar>
            <w:hideMark/>
          </w:tcPr>
          <w:p w14:paraId="51FB8C19"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Factura electrónica de venta</w:t>
            </w:r>
          </w:p>
          <w:p w14:paraId="3A3A8974"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Realización del ingreso</w:t>
            </w:r>
          </w:p>
          <w:p w14:paraId="72B7EFF8"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Causación del impuesto sobre las ventas</w:t>
            </w:r>
          </w:p>
        </w:tc>
      </w:tr>
      <w:tr w:rsidR="004E7F12" w:rsidRPr="00F8305C" w14:paraId="639C0E3F" w14:textId="77777777" w:rsidTr="004E7F12">
        <w:tc>
          <w:tcPr>
            <w:tcW w:w="1822" w:type="dxa"/>
            <w:tcBorders>
              <w:top w:val="nil"/>
              <w:left w:val="nil"/>
              <w:bottom w:val="nil"/>
              <w:right w:val="nil"/>
            </w:tcBorders>
            <w:shd w:val="clear" w:color="auto" w:fill="auto"/>
            <w:tcMar>
              <w:top w:w="0" w:type="dxa"/>
              <w:left w:w="108" w:type="dxa"/>
              <w:bottom w:w="0" w:type="dxa"/>
              <w:right w:w="108" w:type="dxa"/>
            </w:tcMar>
            <w:hideMark/>
          </w:tcPr>
          <w:p w14:paraId="1ADBBBD8"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AC21A58"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37989C0"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 </w:t>
            </w:r>
          </w:p>
        </w:tc>
        <w:tc>
          <w:tcPr>
            <w:tcW w:w="6514" w:type="dxa"/>
            <w:tcBorders>
              <w:top w:val="nil"/>
              <w:left w:val="nil"/>
              <w:bottom w:val="nil"/>
              <w:right w:val="nil"/>
            </w:tcBorders>
            <w:shd w:val="clear" w:color="auto" w:fill="auto"/>
            <w:tcMar>
              <w:top w:w="0" w:type="dxa"/>
              <w:left w:w="108" w:type="dxa"/>
              <w:bottom w:w="0" w:type="dxa"/>
              <w:right w:w="108" w:type="dxa"/>
            </w:tcMar>
            <w:hideMark/>
          </w:tcPr>
          <w:p w14:paraId="68A62DE4"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Artículos </w:t>
            </w:r>
            <w:hyperlink r:id="rId4" w:tooltip="Estatuto Tributario CETA" w:history="1">
              <w:r w:rsidRPr="00F8305C">
                <w:rPr>
                  <w:rFonts w:eastAsia="Times New Roman" w:cs="Times New Roman"/>
                  <w:color w:val="0089E1"/>
                  <w:szCs w:val="24"/>
                  <w:u w:val="single"/>
                  <w:lang w:eastAsia="es-CO"/>
                </w:rPr>
                <w:t>28</w:t>
              </w:r>
            </w:hyperlink>
            <w:r w:rsidRPr="00F8305C">
              <w:rPr>
                <w:rFonts w:eastAsia="Times New Roman" w:cs="Times New Roman"/>
                <w:szCs w:val="24"/>
                <w:lang w:eastAsia="es-CO"/>
              </w:rPr>
              <w:t>, </w:t>
            </w:r>
            <w:hyperlink r:id="rId5" w:tooltip="Estatuto Tributario CETA" w:history="1">
              <w:r w:rsidRPr="00F8305C">
                <w:rPr>
                  <w:rFonts w:eastAsia="Times New Roman" w:cs="Times New Roman"/>
                  <w:color w:val="0089E1"/>
                  <w:szCs w:val="24"/>
                  <w:u w:val="single"/>
                  <w:lang w:eastAsia="es-CO"/>
                </w:rPr>
                <w:t>429</w:t>
              </w:r>
            </w:hyperlink>
            <w:r w:rsidRPr="00F8305C">
              <w:rPr>
                <w:rFonts w:eastAsia="Times New Roman" w:cs="Times New Roman"/>
                <w:szCs w:val="24"/>
                <w:lang w:eastAsia="es-CO"/>
              </w:rPr>
              <w:t>, </w:t>
            </w:r>
            <w:hyperlink r:id="rId6" w:tooltip="Estatuto Tributario CETA" w:history="1">
              <w:r w:rsidRPr="00F8305C">
                <w:rPr>
                  <w:rFonts w:eastAsia="Times New Roman" w:cs="Times New Roman"/>
                  <w:color w:val="0089E1"/>
                  <w:szCs w:val="24"/>
                  <w:u w:val="single"/>
                  <w:lang w:eastAsia="es-CO"/>
                </w:rPr>
                <w:t>476</w:t>
              </w:r>
            </w:hyperlink>
            <w:r w:rsidRPr="00F8305C">
              <w:rPr>
                <w:rFonts w:eastAsia="Times New Roman" w:cs="Times New Roman"/>
                <w:szCs w:val="24"/>
                <w:lang w:eastAsia="es-CO"/>
              </w:rPr>
              <w:t>, </w:t>
            </w:r>
            <w:hyperlink r:id="rId7" w:tooltip="Estatuto Tributario CETA" w:history="1">
              <w:r w:rsidRPr="00F8305C">
                <w:rPr>
                  <w:rFonts w:eastAsia="Times New Roman" w:cs="Times New Roman"/>
                  <w:color w:val="0089E1"/>
                  <w:szCs w:val="24"/>
                  <w:u w:val="single"/>
                  <w:lang w:eastAsia="es-CO"/>
                </w:rPr>
                <w:t>600</w:t>
              </w:r>
            </w:hyperlink>
            <w:r w:rsidRPr="00F8305C">
              <w:rPr>
                <w:rFonts w:eastAsia="Times New Roman" w:cs="Times New Roman"/>
                <w:szCs w:val="24"/>
                <w:lang w:eastAsia="es-CO"/>
              </w:rPr>
              <w:t> y </w:t>
            </w:r>
            <w:hyperlink r:id="rId8" w:tooltip="Estatuto Tributario CETA" w:history="1">
              <w:r w:rsidRPr="00F8305C">
                <w:rPr>
                  <w:rFonts w:eastAsia="Times New Roman" w:cs="Times New Roman"/>
                  <w:color w:val="0089E1"/>
                  <w:szCs w:val="24"/>
                  <w:u w:val="single"/>
                  <w:lang w:eastAsia="es-CO"/>
                </w:rPr>
                <w:t>771-2</w:t>
              </w:r>
            </w:hyperlink>
            <w:r w:rsidRPr="00F8305C">
              <w:rPr>
                <w:rFonts w:eastAsia="Times New Roman" w:cs="Times New Roman"/>
                <w:szCs w:val="24"/>
                <w:lang w:eastAsia="es-CO"/>
              </w:rPr>
              <w:t> del Estatuto Tributario</w:t>
            </w:r>
          </w:p>
          <w:p w14:paraId="4A3B64EF" w14:textId="77777777" w:rsidR="004E7F12" w:rsidRPr="00F8305C" w:rsidRDefault="004E7F12" w:rsidP="004E7F12">
            <w:pPr>
              <w:spacing w:after="0" w:line="360" w:lineRule="auto"/>
              <w:jc w:val="both"/>
              <w:rPr>
                <w:rFonts w:eastAsia="Times New Roman" w:cs="Times New Roman"/>
                <w:szCs w:val="24"/>
                <w:lang w:eastAsia="es-CO"/>
              </w:rPr>
            </w:pPr>
            <w:r w:rsidRPr="00F8305C">
              <w:rPr>
                <w:rFonts w:eastAsia="Times New Roman" w:cs="Times New Roman"/>
                <w:szCs w:val="24"/>
                <w:lang w:eastAsia="es-CO"/>
              </w:rPr>
              <w:t xml:space="preserve">Artículos 1.6.1.4.1, 1.6.1.4.3, 1.6.1.4.5 y 1.6.1.4.12 del Decreto 1625 de 2016; Resolución DIAN </w:t>
            </w:r>
            <w:proofErr w:type="spellStart"/>
            <w:r w:rsidRPr="00F8305C">
              <w:rPr>
                <w:rFonts w:eastAsia="Times New Roman" w:cs="Times New Roman"/>
                <w:szCs w:val="24"/>
                <w:lang w:eastAsia="es-CO"/>
              </w:rPr>
              <w:t>N°</w:t>
            </w:r>
            <w:proofErr w:type="spellEnd"/>
            <w:r w:rsidRPr="00F8305C">
              <w:rPr>
                <w:rFonts w:eastAsia="Times New Roman" w:cs="Times New Roman"/>
                <w:szCs w:val="24"/>
                <w:lang w:eastAsia="es-CO"/>
              </w:rPr>
              <w:t xml:space="preserve"> 000042 de 2020.</w:t>
            </w:r>
          </w:p>
        </w:tc>
      </w:tr>
    </w:tbl>
    <w:p w14:paraId="74DB7687"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225F0B9C"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334D2F2C"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Cordial saludo,</w:t>
      </w:r>
    </w:p>
    <w:p w14:paraId="33177A1C"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26B456D2"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F73772D"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3BAFDEBA"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Mediante el radicado de la referencia, la peticionaria formula una serie de inquietudes relacionadas con la facturación electrónica, las cuales se resolverán cada una a su turno:</w:t>
      </w:r>
    </w:p>
    <w:p w14:paraId="65005644"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58FA6098"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1. En desarrollo de un contrato de cuentas en participación ¿el socio oculto debe expedir factura electrónica al socio gestor?</w:t>
      </w:r>
    </w:p>
    <w:p w14:paraId="185884A8"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16E5E7EB"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xml:space="preserve">Mediante Concepto </w:t>
      </w:r>
      <w:proofErr w:type="spellStart"/>
      <w:r w:rsidRPr="00F8305C">
        <w:rPr>
          <w:rFonts w:eastAsia="Times New Roman" w:cs="Times New Roman"/>
          <w:color w:val="000000"/>
          <w:szCs w:val="24"/>
          <w:lang w:eastAsia="es-CO"/>
        </w:rPr>
        <w:t>N°</w:t>
      </w:r>
      <w:proofErr w:type="spellEnd"/>
      <w:r w:rsidRPr="00F8305C">
        <w:rPr>
          <w:rFonts w:eastAsia="Times New Roman" w:cs="Times New Roman"/>
          <w:color w:val="000000"/>
          <w:szCs w:val="24"/>
          <w:lang w:eastAsia="es-CO"/>
        </w:rPr>
        <w:t xml:space="preserve"> 030569 del 5 de abril de 1999, esta Entidad manifestó:</w:t>
      </w:r>
    </w:p>
    <w:p w14:paraId="0CFECF68"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266782A1"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xml:space="preserve">“El reconocimiento para un socio oculto de las utilidades provenientes de un contrato de cuentas en participación no puede considerarse una operación de venta, importación o </w:t>
      </w:r>
      <w:r w:rsidRPr="00F8305C">
        <w:rPr>
          <w:rFonts w:eastAsia="Times New Roman" w:cs="Times New Roman"/>
          <w:i/>
          <w:iCs/>
          <w:color w:val="000000"/>
          <w:szCs w:val="24"/>
          <w:lang w:eastAsia="es-CO"/>
        </w:rPr>
        <w:lastRenderedPageBreak/>
        <w:t>prestación de un servicio en los términos del </w:t>
      </w:r>
      <w:hyperlink r:id="rId9" w:tooltip="Estatuto Tributario CETA" w:history="1">
        <w:r w:rsidRPr="00F8305C">
          <w:rPr>
            <w:rFonts w:eastAsia="Times New Roman" w:cs="Times New Roman"/>
            <w:i/>
            <w:iCs/>
            <w:color w:val="0089E1"/>
            <w:szCs w:val="24"/>
            <w:u w:val="single"/>
            <w:lang w:eastAsia="es-CO"/>
          </w:rPr>
          <w:t>artículo 616-1</w:t>
        </w:r>
      </w:hyperlink>
      <w:r w:rsidRPr="00F8305C">
        <w:rPr>
          <w:rFonts w:eastAsia="Times New Roman" w:cs="Times New Roman"/>
          <w:i/>
          <w:iCs/>
          <w:color w:val="000000"/>
          <w:szCs w:val="24"/>
          <w:lang w:eastAsia="es-CO"/>
        </w:rPr>
        <w:t> arriba mencionado, y por lo tanto </w:t>
      </w:r>
      <w:r w:rsidRPr="00F8305C">
        <w:rPr>
          <w:rFonts w:eastAsia="Times New Roman" w:cs="Times New Roman"/>
          <w:b/>
          <w:bCs/>
          <w:i/>
          <w:iCs/>
          <w:color w:val="000000"/>
          <w:szCs w:val="24"/>
          <w:lang w:eastAsia="es-CO"/>
        </w:rPr>
        <w:t>no existe obligación de facturar por parte de este</w:t>
      </w:r>
      <w:r w:rsidRPr="00F8305C">
        <w:rPr>
          <w:rFonts w:eastAsia="Times New Roman" w:cs="Times New Roman"/>
          <w:i/>
          <w:iCs/>
          <w:color w:val="000000"/>
          <w:szCs w:val="24"/>
          <w:lang w:eastAsia="es-CO"/>
        </w:rPr>
        <w:t>.” </w:t>
      </w:r>
      <w:r w:rsidRPr="00F8305C">
        <w:rPr>
          <w:rFonts w:eastAsia="Times New Roman" w:cs="Times New Roman"/>
          <w:color w:val="000000"/>
          <w:szCs w:val="24"/>
          <w:lang w:eastAsia="es-CO"/>
        </w:rPr>
        <w:t>(resaltado fuera de texto).</w:t>
      </w:r>
    </w:p>
    <w:p w14:paraId="6C0B16A7"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0070FF68"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xml:space="preserve">Ahora bien, de acuerdo con los artículos 1.6.1.4.1 del Decreto 1625 de 2016 y 1° de la Resolución DIAN </w:t>
      </w:r>
      <w:proofErr w:type="spellStart"/>
      <w:r w:rsidRPr="00F8305C">
        <w:rPr>
          <w:rFonts w:eastAsia="Times New Roman" w:cs="Times New Roman"/>
          <w:color w:val="000000"/>
          <w:szCs w:val="24"/>
          <w:lang w:eastAsia="es-CO"/>
        </w:rPr>
        <w:t>N°</w:t>
      </w:r>
      <w:proofErr w:type="spellEnd"/>
      <w:r w:rsidRPr="00F8305C">
        <w:rPr>
          <w:rFonts w:eastAsia="Times New Roman" w:cs="Times New Roman"/>
          <w:color w:val="000000"/>
          <w:szCs w:val="24"/>
          <w:lang w:eastAsia="es-CO"/>
        </w:rPr>
        <w:t xml:space="preserve"> 000042 de 2020, la factura electrónica de venta con validación previa a su expedición, en adelante factura electrónica de venta, </w:t>
      </w:r>
      <w:r w:rsidRPr="00F8305C">
        <w:rPr>
          <w:rFonts w:eastAsia="Times New Roman" w:cs="Times New Roman"/>
          <w:i/>
          <w:iCs/>
          <w:color w:val="000000"/>
          <w:szCs w:val="24"/>
          <w:lang w:eastAsia="es-CO"/>
        </w:rPr>
        <w:t>“hace parte de los sistemas de facturación que </w:t>
      </w:r>
      <w:r w:rsidRPr="00F8305C">
        <w:rPr>
          <w:rFonts w:eastAsia="Times New Roman" w:cs="Times New Roman"/>
          <w:b/>
          <w:bCs/>
          <w:i/>
          <w:iCs/>
          <w:color w:val="000000"/>
          <w:szCs w:val="24"/>
          <w:lang w:eastAsia="es-CO"/>
        </w:rPr>
        <w:t>soporta operaciones de venta de bienes y/o prestación de servicios </w:t>
      </w:r>
      <w:r w:rsidRPr="00F8305C">
        <w:rPr>
          <w:rFonts w:eastAsia="Times New Roman" w:cs="Times New Roman"/>
          <w:i/>
          <w:iCs/>
          <w:color w:val="000000"/>
          <w:szCs w:val="24"/>
          <w:lang w:eastAsia="es-CO"/>
        </w:rPr>
        <w:t>de conformidad con lo previsto en </w:t>
      </w:r>
      <w:hyperlink r:id="rId10" w:tooltip="Estatuto Tributario CETA" w:history="1">
        <w:r w:rsidRPr="00F8305C">
          <w:rPr>
            <w:rFonts w:eastAsia="Times New Roman" w:cs="Times New Roman"/>
            <w:i/>
            <w:iCs/>
            <w:color w:val="0089E1"/>
            <w:szCs w:val="24"/>
            <w:u w:val="single"/>
            <w:lang w:eastAsia="es-CO"/>
          </w:rPr>
          <w:t>artículo 616-1</w:t>
        </w:r>
      </w:hyperlink>
      <w:r w:rsidRPr="00F8305C">
        <w:rPr>
          <w:rFonts w:eastAsia="Times New Roman" w:cs="Times New Roman"/>
          <w:i/>
          <w:iCs/>
          <w:color w:val="000000"/>
          <w:szCs w:val="24"/>
          <w:lang w:eastAsia="es-CO"/>
        </w:rPr>
        <w:t> del Estatuto Tributario” </w:t>
      </w:r>
      <w:r w:rsidRPr="00F8305C">
        <w:rPr>
          <w:rFonts w:eastAsia="Times New Roman" w:cs="Times New Roman"/>
          <w:color w:val="000000"/>
          <w:szCs w:val="24"/>
          <w:lang w:eastAsia="es-CO"/>
        </w:rPr>
        <w:t>(resaltado fuera de texto).</w:t>
      </w:r>
    </w:p>
    <w:p w14:paraId="0A02DA47"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2A7C90B0"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Por lo tanto, el socio oculto no se encuentra obligado a expedir factura electrónica de venta al socio gestor, salvo que este le preste servicios o venda bienes.</w:t>
      </w:r>
    </w:p>
    <w:p w14:paraId="07C78C71"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0D637461"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2. ¿Está obligada a facturar electrónicamente una persona natural que obtiene ingresos de actividades gravadas con el IVA en una cuantía inferior a 3.500 UVT en el año anterior o en el año en curso?</w:t>
      </w:r>
    </w:p>
    <w:p w14:paraId="3B74543D"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78D083AF" w14:textId="77777777" w:rsidR="004E7F12" w:rsidRPr="00F8305C" w:rsidRDefault="004E7F12" w:rsidP="004E7F12">
      <w:pPr>
        <w:spacing w:after="0" w:line="360" w:lineRule="auto"/>
        <w:jc w:val="both"/>
        <w:rPr>
          <w:rFonts w:eastAsia="Times New Roman" w:cs="Times New Roman"/>
          <w:color w:val="000000"/>
          <w:szCs w:val="24"/>
          <w:highlight w:val="green"/>
          <w:lang w:eastAsia="es-CO"/>
        </w:rPr>
      </w:pPr>
      <w:r w:rsidRPr="00F8305C">
        <w:rPr>
          <w:rFonts w:eastAsia="Times New Roman" w:cs="Times New Roman"/>
          <w:color w:val="000000"/>
          <w:szCs w:val="24"/>
          <w:highlight w:val="green"/>
          <w:lang w:eastAsia="es-CO"/>
        </w:rPr>
        <w:t>El artículo 1.6.1.4.3 del Decreto 1625 de 2016 establece que no se encuentran obligados a expedir factura de venta o documento equivalente, entre otros sujetos, </w:t>
      </w:r>
      <w:r w:rsidRPr="00F8305C">
        <w:rPr>
          <w:rFonts w:eastAsia="Times New Roman" w:cs="Times New Roman"/>
          <w:i/>
          <w:iCs/>
          <w:color w:val="000000"/>
          <w:szCs w:val="24"/>
          <w:highlight w:val="green"/>
          <w:lang w:eastAsia="es-CO"/>
        </w:rPr>
        <w:t>“Las personas naturales de que tratan los parágrafos 3° y 5° del </w:t>
      </w:r>
      <w:hyperlink r:id="rId11" w:tooltip="Estatuto Tributario CETA" w:history="1">
        <w:r w:rsidRPr="00F8305C">
          <w:rPr>
            <w:rFonts w:eastAsia="Times New Roman" w:cs="Times New Roman"/>
            <w:i/>
            <w:iCs/>
            <w:color w:val="0089E1"/>
            <w:szCs w:val="24"/>
            <w:highlight w:val="green"/>
            <w:u w:val="single"/>
            <w:lang w:eastAsia="es-CO"/>
          </w:rPr>
          <w:t>artículo 437</w:t>
        </w:r>
      </w:hyperlink>
      <w:r w:rsidRPr="00F8305C">
        <w:rPr>
          <w:rFonts w:eastAsia="Times New Roman" w:cs="Times New Roman"/>
          <w:i/>
          <w:iCs/>
          <w:color w:val="000000"/>
          <w:szCs w:val="24"/>
          <w:highlight w:val="green"/>
          <w:lang w:eastAsia="es-CO"/>
        </w:rPr>
        <w:t> del Estatuto Tributario, </w:t>
      </w:r>
      <w:r w:rsidRPr="00F8305C">
        <w:rPr>
          <w:rFonts w:eastAsia="Times New Roman" w:cs="Times New Roman"/>
          <w:b/>
          <w:bCs/>
          <w:i/>
          <w:iCs/>
          <w:color w:val="000000"/>
          <w:szCs w:val="24"/>
          <w:highlight w:val="green"/>
          <w:lang w:eastAsia="es-CO"/>
        </w:rPr>
        <w:t>siempre que cumplan la totalidad de las condiciones establecidas en la citada disposición, como no responsable del impuesto sobre las ventas (IVA)</w:t>
      </w:r>
      <w:r w:rsidRPr="00F8305C">
        <w:rPr>
          <w:rFonts w:eastAsia="Times New Roman" w:cs="Times New Roman"/>
          <w:i/>
          <w:iCs/>
          <w:color w:val="000000"/>
          <w:szCs w:val="24"/>
          <w:highlight w:val="green"/>
          <w:lang w:eastAsia="es-CO"/>
        </w:rPr>
        <w:t>” </w:t>
      </w:r>
      <w:r w:rsidRPr="00F8305C">
        <w:rPr>
          <w:rFonts w:eastAsia="Times New Roman" w:cs="Times New Roman"/>
          <w:color w:val="000000"/>
          <w:szCs w:val="24"/>
          <w:highlight w:val="green"/>
          <w:lang w:eastAsia="es-CO"/>
        </w:rPr>
        <w:t>(resaltado fuera de texto).</w:t>
      </w:r>
    </w:p>
    <w:p w14:paraId="7258B8B9" w14:textId="77777777" w:rsidR="004E7F12" w:rsidRPr="00F8305C" w:rsidRDefault="004E7F12" w:rsidP="004E7F12">
      <w:pPr>
        <w:spacing w:after="0" w:line="360" w:lineRule="auto"/>
        <w:jc w:val="both"/>
        <w:rPr>
          <w:rFonts w:eastAsia="Times New Roman" w:cs="Times New Roman"/>
          <w:color w:val="000000"/>
          <w:szCs w:val="24"/>
          <w:highlight w:val="green"/>
          <w:lang w:eastAsia="es-CO"/>
        </w:rPr>
      </w:pPr>
      <w:r w:rsidRPr="00F8305C">
        <w:rPr>
          <w:rFonts w:eastAsia="Times New Roman" w:cs="Times New Roman"/>
          <w:color w:val="000000"/>
          <w:szCs w:val="24"/>
          <w:highlight w:val="green"/>
          <w:lang w:eastAsia="es-CO"/>
        </w:rPr>
        <w:t> </w:t>
      </w:r>
    </w:p>
    <w:p w14:paraId="50B37DA1"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highlight w:val="green"/>
          <w:lang w:eastAsia="es-CO"/>
        </w:rPr>
        <w:t>Por ende, las citadas personas naturales no estarán obligadas a expedir factura electrónica de venta por las operaciones de venta de bienes y/o prestación de servicios que lleven a cabo, siempre y cuando no sean responsables del IVA, lo cual implica cumplir la totalidad de las siguientes condiciones:</w:t>
      </w:r>
    </w:p>
    <w:p w14:paraId="10E75D09"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16E8EA0E"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“1. Que en el año anterior o en el año en curso hubieren obtenido ingresos brutos totales provenientes de la actividad, inferiores a 3.500 UVT.</w:t>
      </w:r>
    </w:p>
    <w:p w14:paraId="0067CF04"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297D7B36"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2. Que no tengan más de un establecimiento de comercio, oficina, sede, local o negocio donde ejerzan su actividad.</w:t>
      </w:r>
    </w:p>
    <w:p w14:paraId="4DEC8748"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060EB405"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3. Que en el establecimiento de comercio, oficina, sede, local o negocio no se desarrollen actividades bajo franquicia, concesión, regalía, autorización o cualquier otro sistema que implique la explotación de intangibles.</w:t>
      </w:r>
    </w:p>
    <w:p w14:paraId="7D1CD5A4"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563CECC3"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4. Que no sean usuarios aduaneros.</w:t>
      </w:r>
    </w:p>
    <w:p w14:paraId="7A53DC2A"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7E32239A"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lastRenderedPageBreak/>
        <w:t>5. Que no hayan celebrado en el año inmediatamente anterior ni en el año en curso contratos de venta de bienes y/o prestación de servicios gravados por valor individual, igual o superior a 3.500 UVT.</w:t>
      </w:r>
    </w:p>
    <w:p w14:paraId="648CBDF5"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06605951"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6. Que el monto de sus consignaciones bancarias, depósitos o inversiones financieras durante el año anterior o durante el respectivo año, provenientes de actividades gravadas con el impuesto sobre las ventas (IVA), no supere la suma de 3.500 UVT.” </w:t>
      </w:r>
      <w:r w:rsidRPr="00F8305C">
        <w:rPr>
          <w:rFonts w:eastAsia="Times New Roman" w:cs="Times New Roman"/>
          <w:color w:val="000000"/>
          <w:szCs w:val="24"/>
          <w:lang w:eastAsia="es-CO"/>
        </w:rPr>
        <w:t>(cfr. parágrafo 3° del </w:t>
      </w:r>
      <w:hyperlink r:id="rId12" w:tooltip="Estatuto Tributario CETA" w:history="1">
        <w:r w:rsidRPr="00F8305C">
          <w:rPr>
            <w:rFonts w:eastAsia="Times New Roman" w:cs="Times New Roman"/>
            <w:color w:val="0089E1"/>
            <w:szCs w:val="24"/>
            <w:u w:val="single"/>
            <w:lang w:eastAsia="es-CO"/>
          </w:rPr>
          <w:t>artículo 437</w:t>
        </w:r>
      </w:hyperlink>
      <w:r w:rsidRPr="00F8305C">
        <w:rPr>
          <w:rFonts w:eastAsia="Times New Roman" w:cs="Times New Roman"/>
          <w:color w:val="000000"/>
          <w:szCs w:val="24"/>
          <w:lang w:eastAsia="es-CO"/>
        </w:rPr>
        <w:t> </w:t>
      </w:r>
      <w:proofErr w:type="spellStart"/>
      <w:r w:rsidRPr="00F8305C">
        <w:rPr>
          <w:rFonts w:eastAsia="Times New Roman" w:cs="Times New Roman"/>
          <w:i/>
          <w:iCs/>
          <w:color w:val="000000"/>
          <w:szCs w:val="24"/>
          <w:lang w:eastAsia="es-CO"/>
        </w:rPr>
        <w:t>ibídem</w:t>
      </w:r>
      <w:proofErr w:type="spellEnd"/>
      <w:r w:rsidRPr="00F8305C">
        <w:rPr>
          <w:rFonts w:eastAsia="Times New Roman" w:cs="Times New Roman"/>
          <w:i/>
          <w:iCs/>
          <w:color w:val="000000"/>
          <w:szCs w:val="24"/>
          <w:lang w:eastAsia="es-CO"/>
        </w:rPr>
        <w:t>, </w:t>
      </w:r>
      <w:r w:rsidRPr="00F8305C">
        <w:rPr>
          <w:rFonts w:eastAsia="Times New Roman" w:cs="Times New Roman"/>
          <w:color w:val="000000"/>
          <w:szCs w:val="24"/>
          <w:lang w:eastAsia="es-CO"/>
        </w:rPr>
        <w:t xml:space="preserve">numeral 2.3 del Capítulo II del Título IX del Concepto Unificado del IVA </w:t>
      </w:r>
      <w:proofErr w:type="spellStart"/>
      <w:r w:rsidRPr="00F8305C">
        <w:rPr>
          <w:rFonts w:eastAsia="Times New Roman" w:cs="Times New Roman"/>
          <w:color w:val="000000"/>
          <w:szCs w:val="24"/>
          <w:lang w:eastAsia="es-CO"/>
        </w:rPr>
        <w:t>N°</w:t>
      </w:r>
      <w:proofErr w:type="spellEnd"/>
      <w:r w:rsidRPr="00F8305C">
        <w:rPr>
          <w:rFonts w:eastAsia="Times New Roman" w:cs="Times New Roman"/>
          <w:color w:val="000000"/>
          <w:szCs w:val="24"/>
          <w:lang w:eastAsia="es-CO"/>
        </w:rPr>
        <w:t xml:space="preserve"> 00001 de 2003 y sentencia C-514 de 2019 de la Corte Constitucional, M.P. Cristina Pardo Schlesinger).</w:t>
      </w:r>
    </w:p>
    <w:p w14:paraId="394F2ED3"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2DC4298C"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“Los límites de que trata el parágrafo 3 de este artículo serán 4.000 UVT para aquellos prestadores de servicios personas naturales que derivan sus ingresos de contratos con el Estado.” </w:t>
      </w:r>
      <w:r w:rsidRPr="00F8305C">
        <w:rPr>
          <w:rFonts w:eastAsia="Times New Roman" w:cs="Times New Roman"/>
          <w:color w:val="000000"/>
          <w:szCs w:val="24"/>
          <w:lang w:eastAsia="es-CO"/>
        </w:rPr>
        <w:t>(cfr. parágrafo 5° del </w:t>
      </w:r>
      <w:hyperlink r:id="rId13" w:tooltip="Estatuto Tributario CETA" w:history="1">
        <w:r w:rsidRPr="00F8305C">
          <w:rPr>
            <w:rFonts w:eastAsia="Times New Roman" w:cs="Times New Roman"/>
            <w:color w:val="0089E1"/>
            <w:szCs w:val="24"/>
            <w:u w:val="single"/>
            <w:lang w:eastAsia="es-CO"/>
          </w:rPr>
          <w:t>artículo 437</w:t>
        </w:r>
      </w:hyperlink>
      <w:r w:rsidRPr="00F8305C">
        <w:rPr>
          <w:rFonts w:eastAsia="Times New Roman" w:cs="Times New Roman"/>
          <w:color w:val="000000"/>
          <w:szCs w:val="24"/>
          <w:lang w:eastAsia="es-CO"/>
        </w:rPr>
        <w:t> </w:t>
      </w:r>
      <w:proofErr w:type="spellStart"/>
      <w:r w:rsidRPr="00F8305C">
        <w:rPr>
          <w:rFonts w:eastAsia="Times New Roman" w:cs="Times New Roman"/>
          <w:i/>
          <w:iCs/>
          <w:color w:val="000000"/>
          <w:szCs w:val="24"/>
          <w:lang w:eastAsia="es-CO"/>
        </w:rPr>
        <w:t>ibídem</w:t>
      </w:r>
      <w:proofErr w:type="spellEnd"/>
      <w:r w:rsidRPr="00F8305C">
        <w:rPr>
          <w:rFonts w:eastAsia="Times New Roman" w:cs="Times New Roman"/>
          <w:color w:val="000000"/>
          <w:szCs w:val="24"/>
          <w:lang w:eastAsia="es-CO"/>
        </w:rPr>
        <w:t>).</w:t>
      </w:r>
    </w:p>
    <w:p w14:paraId="597AB1FB"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530AC705"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3. Una persona natural se dedica a la actividad de transporte de carga y obtiene ingresos que superan el monto equivalente a 3.500 UVT en el año en curso ¿está obligado a expedir factura electrónica de venta? ¿debe expedirla por cada viaje que realiza de estar obligado?</w:t>
      </w:r>
    </w:p>
    <w:p w14:paraId="5F81E6AD"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157B6F37"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De acuerdo con el numeral 9 del </w:t>
      </w:r>
      <w:hyperlink r:id="rId14" w:tooltip="Estatuto Tributario CETA" w:history="1">
        <w:r w:rsidRPr="00F8305C">
          <w:rPr>
            <w:rFonts w:eastAsia="Times New Roman" w:cs="Times New Roman"/>
            <w:color w:val="0089E1"/>
            <w:szCs w:val="24"/>
            <w:u w:val="single"/>
            <w:lang w:eastAsia="es-CO"/>
          </w:rPr>
          <w:t>artículo 476</w:t>
        </w:r>
      </w:hyperlink>
      <w:r w:rsidRPr="00F8305C">
        <w:rPr>
          <w:rFonts w:eastAsia="Times New Roman" w:cs="Times New Roman"/>
          <w:color w:val="000000"/>
          <w:szCs w:val="24"/>
          <w:lang w:eastAsia="es-CO"/>
        </w:rPr>
        <w:t> del Estatuto Tributario, el servicio de transporte público o privado nacional e internacional de carga marítimo, fluvial, terrestre y aéreo está excluido del IVA.</w:t>
      </w:r>
    </w:p>
    <w:p w14:paraId="3B6647D4"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5DDE685B"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Por su parte, el artículo 1.6.1.4.3 del Decreto 1625 de 2016 señala en su numeral 7° que </w:t>
      </w:r>
      <w:r w:rsidRPr="00F8305C">
        <w:rPr>
          <w:rFonts w:eastAsia="Times New Roman" w:cs="Times New Roman"/>
          <w:i/>
          <w:iCs/>
          <w:color w:val="000000"/>
          <w:szCs w:val="24"/>
          <w:lang w:eastAsia="es-CO"/>
        </w:rPr>
        <w:t>“Las personas naturales que </w:t>
      </w:r>
      <w:r w:rsidRPr="00F8305C">
        <w:rPr>
          <w:rFonts w:eastAsia="Times New Roman" w:cs="Times New Roman"/>
          <w:b/>
          <w:bCs/>
          <w:i/>
          <w:iCs/>
          <w:color w:val="000000"/>
          <w:szCs w:val="24"/>
          <w:highlight w:val="green"/>
          <w:lang w:eastAsia="es-CO"/>
        </w:rPr>
        <w:t>únicamente</w:t>
      </w:r>
      <w:r w:rsidRPr="00F8305C">
        <w:rPr>
          <w:rFonts w:eastAsia="Times New Roman" w:cs="Times New Roman"/>
          <w:b/>
          <w:bCs/>
          <w:i/>
          <w:iCs/>
          <w:color w:val="000000"/>
          <w:szCs w:val="24"/>
          <w:lang w:eastAsia="es-CO"/>
        </w:rPr>
        <w:t xml:space="preserve"> (…) presten servicios no gravados con el impuesto sobre las ventas (IVA)</w:t>
      </w:r>
      <w:r w:rsidRPr="00F8305C">
        <w:rPr>
          <w:rFonts w:eastAsia="Times New Roman" w:cs="Times New Roman"/>
          <w:i/>
          <w:iCs/>
          <w:color w:val="000000"/>
          <w:szCs w:val="24"/>
          <w:lang w:eastAsia="es-CO"/>
        </w:rPr>
        <w:t>, que hubieren obtenido ingresos brutos totales provenientes de estas actividades en el año anterior o en el año en curso, </w:t>
      </w:r>
      <w:r w:rsidRPr="00F8305C">
        <w:rPr>
          <w:rFonts w:eastAsia="Times New Roman" w:cs="Times New Roman"/>
          <w:b/>
          <w:bCs/>
          <w:i/>
          <w:iCs/>
          <w:color w:val="000000"/>
          <w:szCs w:val="24"/>
          <w:lang w:eastAsia="es-CO"/>
        </w:rPr>
        <w:t>inferiores a tres mil quinientas (3.500) Unidades de Valor Tributario (UVT)</w:t>
      </w:r>
      <w:r w:rsidRPr="00F8305C">
        <w:rPr>
          <w:rFonts w:eastAsia="Times New Roman" w:cs="Times New Roman"/>
          <w:i/>
          <w:iCs/>
          <w:color w:val="000000"/>
          <w:szCs w:val="24"/>
          <w:lang w:eastAsia="es-CO"/>
        </w:rPr>
        <w:t>” </w:t>
      </w:r>
      <w:r w:rsidRPr="00F8305C">
        <w:rPr>
          <w:rFonts w:eastAsia="Times New Roman" w:cs="Times New Roman"/>
          <w:color w:val="000000"/>
          <w:szCs w:val="24"/>
          <w:lang w:eastAsia="es-CO"/>
        </w:rPr>
        <w:t>(resaltado fuera de texto) no se encuentran obligados a expedir factura de venta ni documento equivalente.</w:t>
      </w:r>
    </w:p>
    <w:p w14:paraId="38564AD1"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61811302"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highlight w:val="green"/>
          <w:lang w:eastAsia="es-CO"/>
        </w:rPr>
        <w:t>Así las cosas, si la persona natural que presta el servicio de transporte de carga obtiene ingresos brutos totales provenientes de estas actividades en el año anterior o en el año en curso, superiores o iguales a 3.500 UVT, se encuentra obligada a facturar.</w:t>
      </w:r>
    </w:p>
    <w:p w14:paraId="2FC320D3"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6BCF041C"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highlight w:val="green"/>
          <w:lang w:eastAsia="es-CO"/>
        </w:rPr>
        <w:t xml:space="preserve">Ahora, toda vez que dentro de los documentos equivalentes a la factura de venta vigentes previstos en el artículo 1.6.1.4.6. del Decreto 1625 de 2016 no se dispone ninguno relacionado con el servicio de transporte de carga, el obligado deberá expedir factura electrónica de venta de acuerdo con la regulación dispuesta en la Resolución DIAN </w:t>
      </w:r>
      <w:proofErr w:type="spellStart"/>
      <w:r w:rsidRPr="00F8305C">
        <w:rPr>
          <w:rFonts w:eastAsia="Times New Roman" w:cs="Times New Roman"/>
          <w:color w:val="000000"/>
          <w:szCs w:val="24"/>
          <w:highlight w:val="green"/>
          <w:lang w:eastAsia="es-CO"/>
        </w:rPr>
        <w:t>N°</w:t>
      </w:r>
      <w:proofErr w:type="spellEnd"/>
      <w:r w:rsidRPr="00F8305C">
        <w:rPr>
          <w:rFonts w:eastAsia="Times New Roman" w:cs="Times New Roman"/>
          <w:color w:val="000000"/>
          <w:szCs w:val="24"/>
          <w:highlight w:val="green"/>
          <w:lang w:eastAsia="es-CO"/>
        </w:rPr>
        <w:t xml:space="preserve"> 000042 de 2020.</w:t>
      </w:r>
    </w:p>
    <w:p w14:paraId="7FDD8E9E"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71B54BB1"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lastRenderedPageBreak/>
        <w:t>En cuanto a la expedición de la factura electrónica de venta, se precisa que de acuerdo con lo dispuesto en el numeral 5 del artículo 1.6.1.4.1. del Decreto 1625 de 2016 esta debe hacerse por cada operación de prestación del servicio y al momento de efectuarse la misma, situación que dependerá de las condiciones y tipo de contrato celebrado entre las partes.</w:t>
      </w:r>
    </w:p>
    <w:p w14:paraId="5325AEB9"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67ACDEEC"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xml:space="preserve">Para </w:t>
      </w:r>
      <w:proofErr w:type="gramStart"/>
      <w:r w:rsidRPr="00F8305C">
        <w:rPr>
          <w:rFonts w:eastAsia="Times New Roman" w:cs="Times New Roman"/>
          <w:color w:val="000000"/>
          <w:szCs w:val="24"/>
          <w:lang w:eastAsia="es-CO"/>
        </w:rPr>
        <w:t>mayor información</w:t>
      </w:r>
      <w:proofErr w:type="gramEnd"/>
      <w:r w:rsidRPr="00F8305C">
        <w:rPr>
          <w:rFonts w:eastAsia="Times New Roman" w:cs="Times New Roman"/>
          <w:color w:val="000000"/>
          <w:szCs w:val="24"/>
          <w:lang w:eastAsia="es-CO"/>
        </w:rPr>
        <w:t xml:space="preserve"> sobre este punto, se adjunta copia del Oficio </w:t>
      </w:r>
      <w:proofErr w:type="spellStart"/>
      <w:r w:rsidRPr="00F8305C">
        <w:rPr>
          <w:rFonts w:eastAsia="Times New Roman" w:cs="Times New Roman"/>
          <w:color w:val="000000"/>
          <w:szCs w:val="24"/>
          <w:lang w:eastAsia="es-CO"/>
        </w:rPr>
        <w:t>N°</w:t>
      </w:r>
      <w:proofErr w:type="spellEnd"/>
      <w:r w:rsidRPr="00F8305C">
        <w:rPr>
          <w:rFonts w:eastAsia="Times New Roman" w:cs="Times New Roman"/>
          <w:color w:val="000000"/>
          <w:szCs w:val="24"/>
          <w:lang w:eastAsia="es-CO"/>
        </w:rPr>
        <w:t xml:space="preserve"> 910620 del 14 de diciembre de 2020.</w:t>
      </w:r>
    </w:p>
    <w:p w14:paraId="6DF0FD44"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51310B5E"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4. Si a 31 de diciembre de un respectivo año no se alcanzaron a facturar unos determinados ingresos</w:t>
      </w:r>
    </w:p>
    <w:p w14:paraId="618E041E"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2040CD1D"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4.1. ¿En qué año gravable se deben reconocer para efectos del impuesto sobre la renta teniendo en cuenta el concepto de devengo? ¿Qué situación se presentaría respecto del IVA?</w:t>
      </w:r>
    </w:p>
    <w:p w14:paraId="71099FAF"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193FE7B9"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Tratándose del reconocimiento del ingreso, estos se deberán reconocer para efectos del impuesto sobre la renta en el año gravable en el que se hayan realizado fiscalmente. En cuanto al concepto de devengo, es necesario atender lo plasmado en el </w:t>
      </w:r>
      <w:hyperlink r:id="rId15" w:tooltip="Estatuto Tributario CETA" w:history="1">
        <w:r w:rsidRPr="00F8305C">
          <w:rPr>
            <w:rFonts w:eastAsia="Times New Roman" w:cs="Times New Roman"/>
            <w:color w:val="0089E1"/>
            <w:szCs w:val="24"/>
            <w:u w:val="single"/>
            <w:lang w:eastAsia="es-CO"/>
          </w:rPr>
          <w:t>artículo 28</w:t>
        </w:r>
      </w:hyperlink>
      <w:r w:rsidRPr="00F8305C">
        <w:rPr>
          <w:rFonts w:eastAsia="Times New Roman" w:cs="Times New Roman"/>
          <w:color w:val="000000"/>
          <w:szCs w:val="24"/>
          <w:lang w:eastAsia="es-CO"/>
        </w:rPr>
        <w:t> del Estatuto Tributario, de acuerdo con el cual, para los contribuyentes que estén obligados a llevar contabilidad </w:t>
      </w:r>
      <w:r w:rsidRPr="00F8305C">
        <w:rPr>
          <w:rFonts w:eastAsia="Times New Roman" w:cs="Times New Roman"/>
          <w:i/>
          <w:iCs/>
          <w:color w:val="000000"/>
          <w:szCs w:val="24"/>
          <w:lang w:eastAsia="es-CO"/>
        </w:rPr>
        <w:t>“los ingresos realizados fiscalmente son los ingresos </w:t>
      </w:r>
      <w:r w:rsidRPr="00F8305C">
        <w:rPr>
          <w:rFonts w:eastAsia="Times New Roman" w:cs="Times New Roman"/>
          <w:b/>
          <w:bCs/>
          <w:i/>
          <w:iCs/>
          <w:color w:val="000000"/>
          <w:szCs w:val="24"/>
          <w:lang w:eastAsia="es-CO"/>
        </w:rPr>
        <w:t>devengados contablemente </w:t>
      </w:r>
      <w:r w:rsidRPr="00F8305C">
        <w:rPr>
          <w:rFonts w:eastAsia="Times New Roman" w:cs="Times New Roman"/>
          <w:i/>
          <w:iCs/>
          <w:color w:val="000000"/>
          <w:szCs w:val="24"/>
          <w:lang w:eastAsia="es-CO"/>
        </w:rPr>
        <w:t>en el año o período gravable” </w:t>
      </w:r>
      <w:r w:rsidRPr="00F8305C">
        <w:rPr>
          <w:rFonts w:eastAsia="Times New Roman" w:cs="Times New Roman"/>
          <w:color w:val="000000"/>
          <w:szCs w:val="24"/>
          <w:lang w:eastAsia="es-CO"/>
        </w:rPr>
        <w:t>(resaltado fuera de texto), sin perjuicio de las diferencias que consagra la misma disposición y que deberán examinarse en cada caso particular.</w:t>
      </w:r>
    </w:p>
    <w:p w14:paraId="43A97475"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56E57495"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En el caso del impuesto sobre las ventas, el </w:t>
      </w:r>
      <w:hyperlink r:id="rId16" w:tooltip="Estatuto Tributario CETA" w:history="1">
        <w:r w:rsidRPr="00F8305C">
          <w:rPr>
            <w:rFonts w:eastAsia="Times New Roman" w:cs="Times New Roman"/>
            <w:color w:val="0089E1"/>
            <w:szCs w:val="24"/>
            <w:u w:val="single"/>
            <w:lang w:eastAsia="es-CO"/>
          </w:rPr>
          <w:t>artículo 429</w:t>
        </w:r>
      </w:hyperlink>
      <w:r w:rsidRPr="00F8305C">
        <w:rPr>
          <w:rFonts w:eastAsia="Times New Roman" w:cs="Times New Roman"/>
          <w:color w:val="000000"/>
          <w:szCs w:val="24"/>
          <w:lang w:eastAsia="es-CO"/>
        </w:rPr>
        <w:t> del Estatuto Tributario dispone:</w:t>
      </w:r>
    </w:p>
    <w:p w14:paraId="3BB66E4B"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60B1F7E1"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w:t>
      </w:r>
      <w:hyperlink r:id="rId17" w:tooltip="Estatuto Tributario CETA" w:history="1">
        <w:r w:rsidRPr="00F8305C">
          <w:rPr>
            <w:rFonts w:eastAsia="Times New Roman" w:cs="Times New Roman"/>
            <w:b/>
            <w:bCs/>
            <w:i/>
            <w:iCs/>
            <w:color w:val="0089E1"/>
            <w:szCs w:val="24"/>
            <w:u w:val="single"/>
            <w:lang w:eastAsia="es-CO"/>
          </w:rPr>
          <w:t>ARTÍCULO 429</w:t>
        </w:r>
      </w:hyperlink>
      <w:r w:rsidRPr="00F8305C">
        <w:rPr>
          <w:rFonts w:eastAsia="Times New Roman" w:cs="Times New Roman"/>
          <w:b/>
          <w:bCs/>
          <w:i/>
          <w:iCs/>
          <w:color w:val="000000"/>
          <w:szCs w:val="24"/>
          <w:lang w:eastAsia="es-CO"/>
        </w:rPr>
        <w:t>.</w:t>
      </w:r>
      <w:r w:rsidRPr="00F8305C">
        <w:rPr>
          <w:rFonts w:eastAsia="Times New Roman" w:cs="Times New Roman"/>
          <w:i/>
          <w:iCs/>
          <w:color w:val="000000"/>
          <w:szCs w:val="24"/>
          <w:lang w:eastAsia="es-CO"/>
        </w:rPr>
        <w:t> MOMENTO DE CAUSACIÓN. El impuesto se causa:</w:t>
      </w:r>
    </w:p>
    <w:p w14:paraId="267F5B44"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7EDD0216"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a. En las ventas, en la fecha de emisión de la factura o documento equivalente y a falta de estos, en el momento de la entrega, aunque se haya pactado reserva de dominio, pacto de retroventa o condición resolutoria.</w:t>
      </w:r>
    </w:p>
    <w:p w14:paraId="7FA603A5"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1EE6C24F"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b. En los retiros a que se refiere el literal b) del </w:t>
      </w:r>
      <w:hyperlink r:id="rId18" w:tooltip="Estatuto Tributario CETA" w:history="1">
        <w:r w:rsidRPr="00F8305C">
          <w:rPr>
            <w:rFonts w:eastAsia="Times New Roman" w:cs="Times New Roman"/>
            <w:i/>
            <w:iCs/>
            <w:color w:val="0089E1"/>
            <w:szCs w:val="24"/>
            <w:u w:val="single"/>
            <w:lang w:eastAsia="es-CO"/>
          </w:rPr>
          <w:t>artículo 421</w:t>
        </w:r>
      </w:hyperlink>
      <w:r w:rsidRPr="00F8305C">
        <w:rPr>
          <w:rFonts w:eastAsia="Times New Roman" w:cs="Times New Roman"/>
          <w:i/>
          <w:iCs/>
          <w:color w:val="000000"/>
          <w:szCs w:val="24"/>
          <w:lang w:eastAsia="es-CO"/>
        </w:rPr>
        <w:t> , en la fecha del retiro.</w:t>
      </w:r>
    </w:p>
    <w:p w14:paraId="15B923CC"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7A9F0D71"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c. En las prestaciones de servicios, en la fecha de emisión de la factura o documento equivalente, o en la fecha de terminación de los servicios o del pago o abono en cuenta, la que fuere anterior.</w:t>
      </w:r>
    </w:p>
    <w:p w14:paraId="42D39B11"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4AF0AE1F"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xml:space="preserve">d. En las importaciones, al tiempo de la nacionalización del bien. En este caso, el impuesto se liquidará y pagará </w:t>
      </w:r>
      <w:proofErr w:type="gramStart"/>
      <w:r w:rsidRPr="00F8305C">
        <w:rPr>
          <w:rFonts w:eastAsia="Times New Roman" w:cs="Times New Roman"/>
          <w:i/>
          <w:iCs/>
          <w:color w:val="000000"/>
          <w:szCs w:val="24"/>
          <w:lang w:eastAsia="es-CO"/>
        </w:rPr>
        <w:t>conjuntamente con</w:t>
      </w:r>
      <w:proofErr w:type="gramEnd"/>
      <w:r w:rsidRPr="00F8305C">
        <w:rPr>
          <w:rFonts w:eastAsia="Times New Roman" w:cs="Times New Roman"/>
          <w:i/>
          <w:iCs/>
          <w:color w:val="000000"/>
          <w:szCs w:val="24"/>
          <w:lang w:eastAsia="es-CO"/>
        </w:rPr>
        <w:t xml:space="preserve"> la liquidación y pago de los derechos de aduana.</w:t>
      </w:r>
    </w:p>
    <w:p w14:paraId="0E54B807"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63249312"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i/>
          <w:iCs/>
          <w:color w:val="000000"/>
          <w:szCs w:val="24"/>
          <w:lang w:eastAsia="es-CO"/>
        </w:rPr>
        <w:lastRenderedPageBreak/>
        <w:t>PARÁGRAFO.</w:t>
      </w:r>
      <w:r w:rsidRPr="00F8305C">
        <w:rPr>
          <w:rFonts w:eastAsia="Times New Roman" w:cs="Times New Roman"/>
          <w:i/>
          <w:iCs/>
          <w:color w:val="000000"/>
          <w:szCs w:val="24"/>
          <w:lang w:eastAsia="es-CO"/>
        </w:rPr>
        <w:t> Cuando el valor convenido sufriere un aumento con posterioridad a la venta, se generará el impuesto sobre ese mayor valor, en la fecha en que este se cause”</w:t>
      </w:r>
      <w:r w:rsidRPr="00F8305C">
        <w:rPr>
          <w:rFonts w:eastAsia="Times New Roman" w:cs="Times New Roman"/>
          <w:color w:val="000000"/>
          <w:szCs w:val="24"/>
          <w:lang w:eastAsia="es-CO"/>
        </w:rPr>
        <w:t>.</w:t>
      </w:r>
    </w:p>
    <w:p w14:paraId="0D2B1207"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485F4D04"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4.2. ¿En qué período se deberá declarar el IVA causado?</w:t>
      </w:r>
    </w:p>
    <w:p w14:paraId="0B1A6E52"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1006E76E"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La declaración del IVA y, dicho sea de paso, su pago, se deberán realizar bimestral o cuatrimestralmente según se cumplan determinadas condiciones. Al respecto, el </w:t>
      </w:r>
      <w:hyperlink r:id="rId19" w:tooltip="Estatuto Tributario CETA" w:history="1">
        <w:r w:rsidRPr="00F8305C">
          <w:rPr>
            <w:rFonts w:eastAsia="Times New Roman" w:cs="Times New Roman"/>
            <w:color w:val="0089E1"/>
            <w:szCs w:val="24"/>
            <w:u w:val="single"/>
            <w:lang w:eastAsia="es-CO"/>
          </w:rPr>
          <w:t>artículo 600</w:t>
        </w:r>
      </w:hyperlink>
      <w:r w:rsidRPr="00F8305C">
        <w:rPr>
          <w:rFonts w:eastAsia="Times New Roman" w:cs="Times New Roman"/>
          <w:color w:val="000000"/>
          <w:szCs w:val="24"/>
          <w:lang w:eastAsia="es-CO"/>
        </w:rPr>
        <w:t> del Estatuto Tributario consagra:</w:t>
      </w:r>
    </w:p>
    <w:p w14:paraId="73E91DCE"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5129668A"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w:t>
      </w:r>
      <w:hyperlink r:id="rId20" w:tooltip="Estatuto Tributario CETA" w:history="1">
        <w:r w:rsidRPr="00F8305C">
          <w:rPr>
            <w:rFonts w:eastAsia="Times New Roman" w:cs="Times New Roman"/>
            <w:b/>
            <w:bCs/>
            <w:i/>
            <w:iCs/>
            <w:color w:val="0089E1"/>
            <w:szCs w:val="24"/>
            <w:u w:val="single"/>
            <w:lang w:eastAsia="es-CO"/>
          </w:rPr>
          <w:t>ARTÍCULO 600</w:t>
        </w:r>
      </w:hyperlink>
      <w:r w:rsidRPr="00F8305C">
        <w:rPr>
          <w:rFonts w:eastAsia="Times New Roman" w:cs="Times New Roman"/>
          <w:b/>
          <w:bCs/>
          <w:i/>
          <w:iCs/>
          <w:color w:val="000000"/>
          <w:szCs w:val="24"/>
          <w:lang w:eastAsia="es-CO"/>
        </w:rPr>
        <w:t>.</w:t>
      </w:r>
      <w:r w:rsidRPr="00F8305C">
        <w:rPr>
          <w:rFonts w:eastAsia="Times New Roman" w:cs="Times New Roman"/>
          <w:i/>
          <w:iCs/>
          <w:color w:val="000000"/>
          <w:szCs w:val="24"/>
          <w:lang w:eastAsia="es-CO"/>
        </w:rPr>
        <w:t> PERÍODO GRAVABLE DEL IMPUESTO SOBRE LAS VENTAS. &lt;Artículo modificado por el artículo 196 de la Ley 1819 de 2016. El nuevo texto es el siguiente:&gt; El período gravable del impuesto sobre las ventas será así:</w:t>
      </w:r>
    </w:p>
    <w:p w14:paraId="3C4F9BF7"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551F38C8"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1. Declaración y pago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w:t>
      </w:r>
      <w:hyperlink r:id="rId21" w:tooltip="Estatuto Tributario CETA" w:history="1">
        <w:r w:rsidRPr="00F8305C">
          <w:rPr>
            <w:rFonts w:eastAsia="Times New Roman" w:cs="Times New Roman"/>
            <w:i/>
            <w:iCs/>
            <w:color w:val="0089E1"/>
            <w:szCs w:val="24"/>
            <w:u w:val="single"/>
            <w:lang w:eastAsia="es-CO"/>
          </w:rPr>
          <w:t>477</w:t>
        </w:r>
      </w:hyperlink>
      <w:r w:rsidRPr="00F8305C">
        <w:rPr>
          <w:rFonts w:eastAsia="Times New Roman" w:cs="Times New Roman"/>
          <w:i/>
          <w:iCs/>
          <w:color w:val="000000"/>
          <w:szCs w:val="24"/>
          <w:lang w:eastAsia="es-CO"/>
        </w:rPr>
        <w:t> y </w:t>
      </w:r>
      <w:hyperlink r:id="rId22" w:tooltip="Estatuto Tributario CETA" w:history="1">
        <w:r w:rsidRPr="00F8305C">
          <w:rPr>
            <w:rFonts w:eastAsia="Times New Roman" w:cs="Times New Roman"/>
            <w:i/>
            <w:iCs/>
            <w:color w:val="0089E1"/>
            <w:szCs w:val="24"/>
            <w:u w:val="single"/>
            <w:lang w:eastAsia="es-CO"/>
          </w:rPr>
          <w:t>481</w:t>
        </w:r>
      </w:hyperlink>
      <w:r w:rsidRPr="00F8305C">
        <w:rPr>
          <w:rFonts w:eastAsia="Times New Roman" w:cs="Times New Roman"/>
          <w:i/>
          <w:iCs/>
          <w:color w:val="000000"/>
          <w:szCs w:val="24"/>
          <w:lang w:eastAsia="es-CO"/>
        </w:rPr>
        <w:t> de este Estatuto. Los períodos bimestrales son: enero-febrero; marzo-abril; mayo-junio; julio-agosto; septiembre-octubre; y noviembre-diciembre.</w:t>
      </w:r>
    </w:p>
    <w:p w14:paraId="29D239A2"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 </w:t>
      </w:r>
    </w:p>
    <w:p w14:paraId="00F9C1B0"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i/>
          <w:iCs/>
          <w:color w:val="000000"/>
          <w:szCs w:val="24"/>
          <w:lang w:eastAsia="es-CO"/>
        </w:rPr>
        <w:t>2. Declaración y pago cuatrimestral para aquellos responsables de este impuesto, personas jurídicas y naturales cuyos ingresos brutos a 31 de diciembre del año gravable anterior sean inferiores a noventa y dos mil (92.000) UVT. Los períodos cuatrimestrales serán enero-abril; mayo-agosto; y septiembre-diciembre (…)”</w:t>
      </w:r>
      <w:r w:rsidRPr="00F8305C">
        <w:rPr>
          <w:rFonts w:eastAsia="Times New Roman" w:cs="Times New Roman"/>
          <w:color w:val="000000"/>
          <w:szCs w:val="24"/>
          <w:lang w:eastAsia="es-CO"/>
        </w:rPr>
        <w:t>.</w:t>
      </w:r>
    </w:p>
    <w:p w14:paraId="08883B82"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6D5F910A"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lang w:eastAsia="es-CO"/>
        </w:rPr>
        <w:t xml:space="preserve">4.3. Si en el año gravable siguiente se expide(n) la(s) factura(s), no </w:t>
      </w:r>
      <w:proofErr w:type="gramStart"/>
      <w:r w:rsidRPr="00F8305C">
        <w:rPr>
          <w:rFonts w:eastAsia="Times New Roman" w:cs="Times New Roman"/>
          <w:b/>
          <w:bCs/>
          <w:color w:val="000000"/>
          <w:szCs w:val="24"/>
          <w:lang w:eastAsia="es-CO"/>
        </w:rPr>
        <w:t>obstante</w:t>
      </w:r>
      <w:proofErr w:type="gramEnd"/>
      <w:r w:rsidRPr="00F8305C">
        <w:rPr>
          <w:rFonts w:eastAsia="Times New Roman" w:cs="Times New Roman"/>
          <w:b/>
          <w:bCs/>
          <w:color w:val="000000"/>
          <w:szCs w:val="24"/>
          <w:lang w:eastAsia="es-CO"/>
        </w:rPr>
        <w:t xml:space="preserve"> el correspondiente ingreso fue registrado contablemente en el año anterior ¿cómo se debe proceder en su reconocimiento para efectos del impuesto sobre la renta y respecto de la causación del IVA?</w:t>
      </w:r>
    </w:p>
    <w:p w14:paraId="064C156D"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2FDE97F1"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Por favor tener en cuenta la respuesta suministrada en el punto 4.1.</w:t>
      </w:r>
    </w:p>
    <w:p w14:paraId="0977CBE0"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53D50340" w14:textId="77777777" w:rsidR="004E7F12" w:rsidRPr="00F8305C" w:rsidRDefault="004E7F12" w:rsidP="004E7F12">
      <w:pPr>
        <w:spacing w:after="0" w:line="360" w:lineRule="auto"/>
        <w:ind w:left="284"/>
        <w:jc w:val="both"/>
        <w:rPr>
          <w:rFonts w:eastAsia="Times New Roman" w:cs="Times New Roman"/>
          <w:color w:val="000000"/>
          <w:szCs w:val="24"/>
          <w:lang w:eastAsia="es-CO"/>
        </w:rPr>
      </w:pPr>
      <w:r w:rsidRPr="00F8305C">
        <w:rPr>
          <w:rFonts w:eastAsia="Times New Roman" w:cs="Times New Roman"/>
          <w:b/>
          <w:bCs/>
          <w:color w:val="000000"/>
          <w:szCs w:val="24"/>
          <w:highlight w:val="green"/>
          <w:lang w:eastAsia="es-CO"/>
        </w:rPr>
        <w:t>5. Una persona natural, no responsable del IVA y declarante de renta, que realiza compras a una persona no obligada a facturar ¿debe solicitar a la DIAN autorización de numeración para expedir documentos soporte en adquisiciones efectuadas a sujetos no obligados a expedir factura de venta para soportar fiscalmente los respectivos costos y/o gastos?</w:t>
      </w:r>
    </w:p>
    <w:p w14:paraId="2DEA94E7"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1B5F35EA"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De conformidad con el </w:t>
      </w:r>
      <w:hyperlink r:id="rId23" w:tooltip="Estatuto Tributario CETA" w:history="1">
        <w:r w:rsidRPr="00F8305C">
          <w:rPr>
            <w:rFonts w:eastAsia="Times New Roman" w:cs="Times New Roman"/>
            <w:color w:val="0089E1"/>
            <w:szCs w:val="24"/>
            <w:u w:val="single"/>
            <w:lang w:eastAsia="es-CO"/>
          </w:rPr>
          <w:t>artículo 771-2</w:t>
        </w:r>
      </w:hyperlink>
      <w:r w:rsidRPr="00F8305C">
        <w:rPr>
          <w:rFonts w:eastAsia="Times New Roman" w:cs="Times New Roman"/>
          <w:color w:val="000000"/>
          <w:szCs w:val="24"/>
          <w:lang w:eastAsia="es-CO"/>
        </w:rPr>
        <w:t xml:space="preserve"> del Estatuto Tributario, para la procedencia de costos y deducciones en el impuesto sobre la renta se requiere, en principio, de facturas que satisfagan </w:t>
      </w:r>
      <w:r w:rsidRPr="00F8305C">
        <w:rPr>
          <w:rFonts w:eastAsia="Times New Roman" w:cs="Times New Roman"/>
          <w:color w:val="000000"/>
          <w:szCs w:val="24"/>
          <w:lang w:eastAsia="es-CO"/>
        </w:rPr>
        <w:lastRenderedPageBreak/>
        <w:t>determinados requisitos legales; sin embargo, cuando no exista la obligación de expedir factura o documento equivalente, </w:t>
      </w:r>
      <w:r w:rsidRPr="00F8305C">
        <w:rPr>
          <w:rFonts w:eastAsia="Times New Roman" w:cs="Times New Roman"/>
          <w:i/>
          <w:iCs/>
          <w:color w:val="000000"/>
          <w:szCs w:val="24"/>
          <w:lang w:eastAsia="es-CO"/>
        </w:rPr>
        <w:t>“el documento que pruebe la respectiva transacción que da lugar a costos, deducciones (…) deberá cumplir los requisitos mínimos que el Gobierno Nacional establezca”</w:t>
      </w:r>
      <w:r w:rsidRPr="00F8305C">
        <w:rPr>
          <w:rFonts w:eastAsia="Times New Roman" w:cs="Times New Roman"/>
          <w:color w:val="000000"/>
          <w:szCs w:val="24"/>
          <w:lang w:eastAsia="es-CO"/>
        </w:rPr>
        <w:t>.</w:t>
      </w:r>
    </w:p>
    <w:p w14:paraId="2EA41D3D"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69026EB8"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En este sentido, dicho documento corresponde al “documento soporte en adquisiciones efectuadas a sujetos no obligados a expedir factura de venta o documento equivalente”, previsto en el artículo 1.6.1.4.12 del Decreto 1625 de 2016 y el artículo 55 de la Resolución DIAN No. 000042 de 2020.</w:t>
      </w:r>
    </w:p>
    <w:p w14:paraId="1D5E8693"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4E5D874C"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highlight w:val="green"/>
          <w:lang w:eastAsia="es-CO"/>
        </w:rPr>
        <w:t>Por lo tanto, la persona natural que pretenda deducir como costo o gasto el valor de las compras efectuadas a sujetos no obligadas a facturar, ya sea que esté o no obligada a facturar, deberá generar el referido documento soporte para acreditar fiscalmente los respectivos costos y/o gastos incurridos en su actividad generadora de renta </w:t>
      </w:r>
      <w:r w:rsidRPr="00F8305C">
        <w:rPr>
          <w:rFonts w:eastAsia="Times New Roman" w:cs="Times New Roman"/>
          <w:color w:val="000000"/>
          <w:szCs w:val="24"/>
          <w:highlight w:val="green"/>
          <w:u w:val="single"/>
          <w:lang w:eastAsia="es-CO"/>
        </w:rPr>
        <w:t>siempre que estos sean procedentes de acuerdo con la normativa tributaria</w:t>
      </w:r>
      <w:r w:rsidRPr="00F8305C">
        <w:rPr>
          <w:rFonts w:eastAsia="Times New Roman" w:cs="Times New Roman"/>
          <w:color w:val="000000"/>
          <w:szCs w:val="24"/>
          <w:highlight w:val="green"/>
          <w:lang w:eastAsia="es-CO"/>
        </w:rPr>
        <w:t>.</w:t>
      </w:r>
    </w:p>
    <w:p w14:paraId="751C5CE7"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5C24F224"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highlight w:val="green"/>
          <w:lang w:eastAsia="es-CO"/>
        </w:rPr>
        <w:t>En cuanto a la autorización de la numeración consecutiva, rango y vigencia del documento soporte de adquisiciones efectuadas a sujetos no obligados a expedir factura o documento equivalente, esta se debe solicitar a través del Sistema Informático Electrónico de esta Entidad de conformidad con lo dispuesto en el numeral 5 del artículo 1.6.1.4.12 del Decreto 1625 de 2016, y el numeral 5 del artículo 55 de la Resolución 00042 de 5 de mayo de 2020.</w:t>
      </w:r>
    </w:p>
    <w:p w14:paraId="106A4265"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 </w:t>
      </w:r>
    </w:p>
    <w:p w14:paraId="37432522"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Atentamente,</w:t>
      </w:r>
    </w:p>
    <w:p w14:paraId="25F44D04"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283B46C1"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b/>
          <w:bCs/>
          <w:color w:val="000000"/>
          <w:szCs w:val="24"/>
          <w:lang w:eastAsia="es-CO"/>
        </w:rPr>
        <w:t> </w:t>
      </w:r>
    </w:p>
    <w:p w14:paraId="05162BB7"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b/>
          <w:bCs/>
          <w:color w:val="000000"/>
          <w:szCs w:val="24"/>
          <w:lang w:eastAsia="es-CO"/>
        </w:rPr>
        <w:t>PABLO EMILIO MENDOZA VELILLA</w:t>
      </w:r>
    </w:p>
    <w:p w14:paraId="3E97B78A"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Subdirector de Gestión Normativa y Doctrina</w:t>
      </w:r>
    </w:p>
    <w:p w14:paraId="5D68FB7A"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Dirección de Gestión Jurídica</w:t>
      </w:r>
    </w:p>
    <w:p w14:paraId="1F846910" w14:textId="77777777" w:rsidR="004E7F12" w:rsidRPr="00F8305C" w:rsidRDefault="004E7F12" w:rsidP="004E7F12">
      <w:pPr>
        <w:spacing w:after="0" w:line="360" w:lineRule="auto"/>
        <w:jc w:val="both"/>
        <w:rPr>
          <w:rFonts w:eastAsia="Times New Roman" w:cs="Times New Roman"/>
          <w:color w:val="000000"/>
          <w:szCs w:val="24"/>
          <w:lang w:eastAsia="es-CO"/>
        </w:rPr>
      </w:pPr>
      <w:r w:rsidRPr="00F8305C">
        <w:rPr>
          <w:rFonts w:eastAsia="Times New Roman" w:cs="Times New Roman"/>
          <w:color w:val="000000"/>
          <w:szCs w:val="24"/>
          <w:lang w:eastAsia="es-CO"/>
        </w:rPr>
        <w:t>UAE-DIAN</w:t>
      </w:r>
    </w:p>
    <w:p w14:paraId="4A5AFD5B" w14:textId="77777777" w:rsidR="007F5CC8" w:rsidRPr="00F8305C" w:rsidRDefault="007F5CC8" w:rsidP="004E7F12">
      <w:pPr>
        <w:spacing w:line="360" w:lineRule="auto"/>
        <w:rPr>
          <w:rFonts w:cs="Times New Roman"/>
          <w:szCs w:val="24"/>
        </w:rPr>
      </w:pPr>
    </w:p>
    <w:sectPr w:rsidR="007F5CC8" w:rsidRPr="00F8305C"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12"/>
    <w:rsid w:val="000F3837"/>
    <w:rsid w:val="001E311E"/>
    <w:rsid w:val="00434AE6"/>
    <w:rsid w:val="004E7F12"/>
    <w:rsid w:val="007F5CC8"/>
    <w:rsid w:val="008779BE"/>
    <w:rsid w:val="00EB5ADB"/>
    <w:rsid w:val="00F8305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7DD9"/>
  <w15:chartTrackingRefBased/>
  <w15:docId w15:val="{3AD61C5C-A684-42D8-8330-46D33574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7" TargetMode="External"/><Relationship Id="rId13" Type="http://schemas.openxmlformats.org/officeDocument/2006/relationships/hyperlink" Target="https://www.ceta.org.co/html/vista_de_un_articulo.asp?Norma=548" TargetMode="External"/><Relationship Id="rId18" Type="http://schemas.openxmlformats.org/officeDocument/2006/relationships/hyperlink" Target="https://www.ceta.org.co/html/vista_de_un_articulo.asp?Norma=52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97" TargetMode="External"/><Relationship Id="rId7" Type="http://schemas.openxmlformats.org/officeDocument/2006/relationships/hyperlink" Target="https://www.ceta.org.co/html/vista_de_un_articulo.asp?Norma=740" TargetMode="External"/><Relationship Id="rId12" Type="http://schemas.openxmlformats.org/officeDocument/2006/relationships/hyperlink" Target="https://www.ceta.org.co/html/vista_de_un_articulo.asp?Norma=548" TargetMode="External"/><Relationship Id="rId17" Type="http://schemas.openxmlformats.org/officeDocument/2006/relationships/hyperlink" Target="https://www.ceta.org.co/html/vista_de_un_articulo.asp?Norma=54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540" TargetMode="External"/><Relationship Id="rId20" Type="http://schemas.openxmlformats.org/officeDocument/2006/relationships/hyperlink" Target="https://www.ceta.org.co/html/vista_de_un_articulo.asp?Norma=740" TargetMode="Externa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48" TargetMode="External"/><Relationship Id="rId24" Type="http://schemas.openxmlformats.org/officeDocument/2006/relationships/fontTable" Target="fontTable.xml"/><Relationship Id="rId5" Type="http://schemas.openxmlformats.org/officeDocument/2006/relationships/hyperlink" Target="https://www.ceta.org.co/html/vista_de_un_articulo.asp?Norma=540" TargetMode="External"/><Relationship Id="rId15" Type="http://schemas.openxmlformats.org/officeDocument/2006/relationships/hyperlink" Target="https://www.ceta.org.co/html/vista_de_un_articulo.asp?Norma=58" TargetMode="External"/><Relationship Id="rId23" Type="http://schemas.openxmlformats.org/officeDocument/2006/relationships/hyperlink" Target="https://www.ceta.org.co/html/vista_de_un_articulo.asp?Norma=957" TargetMode="External"/><Relationship Id="rId10" Type="http://schemas.openxmlformats.org/officeDocument/2006/relationships/hyperlink" Target="https://www.ceta.org.co/html/vista_de_un_articulo.asp?Norma=758" TargetMode="External"/><Relationship Id="rId19" Type="http://schemas.openxmlformats.org/officeDocument/2006/relationships/hyperlink" Target="https://www.ceta.org.co/html/vista_de_un_articulo.asp?Norma=740" TargetMode="External"/><Relationship Id="rId4" Type="http://schemas.openxmlformats.org/officeDocument/2006/relationships/hyperlink" Target="https://www.ceta.org.co/html/vista_de_un_articulo.asp?Norma=58" TargetMode="External"/><Relationship Id="rId9" Type="http://schemas.openxmlformats.org/officeDocument/2006/relationships/hyperlink" Target="https://www.ceta.org.co/html/vista_de_un_articulo.asp?Norma=758" TargetMode="External"/><Relationship Id="rId14" Type="http://schemas.openxmlformats.org/officeDocument/2006/relationships/hyperlink" Target="https://www.ceta.org.co/html/vista_de_un_articulo.asp?Norma=595" TargetMode="External"/><Relationship Id="rId22" Type="http://schemas.openxmlformats.org/officeDocument/2006/relationships/hyperlink" Target="https://www.ceta.org.co/html/vista_de_un_articulo.asp?Norma=6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2280</Words>
  <Characters>12544</Characters>
  <Application>Microsoft Office Word</Application>
  <DocSecurity>0</DocSecurity>
  <Lines>104</Lines>
  <Paragraphs>29</Paragraphs>
  <ScaleCrop>false</ScaleCrop>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dcterms:created xsi:type="dcterms:W3CDTF">2021-05-22T16:51:00Z</dcterms:created>
  <dcterms:modified xsi:type="dcterms:W3CDTF">2021-05-28T16:12:00Z</dcterms:modified>
</cp:coreProperties>
</file>